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Höör kommunfullmäktige</w:t>
      </w:r>
    </w:p>
    <w:p>
      <w:pPr>
        <w:pStyle w:val="Heading1"/>
      </w:pPr>
      <w:r>
        <w:t xml:space="preserve">Tryggare skolmiljö mot diskriminering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Höör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2023 visar att 15 % av Höörs ungdomar upplever otrygghet i skolan. HBTQI-elever rapporterar högre utsatthet enligt kommunens elevundersökning.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Höör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HBTQI-utbildning för all skolpersonal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antidiskrimineringsombudsman på 50 % tjänst.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upprätta handlingsplan mot hedersrelaterat våld i skolan.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trygghetsmätningar till barn- och utbildningsnämnden.</w:t>
      </w:r>
    </w:p>
    <w:p>
      <w:pPr>
        <w:spacing w:before="360"/>
      </w:pPr>
    </w:p>
    <w:p>
      <w:r>
        <w:t xml:space="preserve">Höör,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Höör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2026-07-14T03:41:01.652Z</dcterms:created>
  <dcterms:modified xsi:type="dcterms:W3CDTF">2026-07-14T03:41:01.652Z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